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3A157" w14:textId="5682D84F" w:rsidR="00352526" w:rsidRDefault="00A1414F">
      <w:r w:rsidRPr="00F1770B">
        <w:rPr>
          <w:rFonts w:ascii="Arial" w:hAnsi="Arial" w:cs="Arial"/>
          <w:noProof/>
          <w:color w:val="58595B"/>
        </w:rPr>
        <w:drawing>
          <wp:anchor distT="0" distB="0" distL="114300" distR="114300" simplePos="0" relativeHeight="251659264" behindDoc="1" locked="0" layoutInCell="1" allowOverlap="1" wp14:anchorId="172ABDEE" wp14:editId="6DCF9F67">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526">
        <w:rPr>
          <w:noProof/>
        </w:rPr>
        <w:drawing>
          <wp:anchor distT="0" distB="0" distL="114300" distR="114300" simplePos="0" relativeHeight="251660288" behindDoc="1" locked="0" layoutInCell="1" allowOverlap="1" wp14:anchorId="3E68EBA3" wp14:editId="4BE27C90">
            <wp:simplePos x="0" y="0"/>
            <wp:positionH relativeFrom="margin">
              <wp:align>right</wp:align>
            </wp:positionH>
            <wp:positionV relativeFrom="page">
              <wp:posOffset>360045</wp:posOffset>
            </wp:positionV>
            <wp:extent cx="1810800" cy="9684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800" cy="968400"/>
                    </a:xfrm>
                    <a:prstGeom prst="rect">
                      <a:avLst/>
                    </a:prstGeom>
                    <a:noFill/>
                  </pic:spPr>
                </pic:pic>
              </a:graphicData>
            </a:graphic>
            <wp14:sizeRelH relativeFrom="page">
              <wp14:pctWidth>0</wp14:pctWidth>
            </wp14:sizeRelH>
            <wp14:sizeRelV relativeFrom="page">
              <wp14:pctHeight>0</wp14:pctHeight>
            </wp14:sizeRelV>
          </wp:anchor>
        </w:drawing>
      </w:r>
    </w:p>
    <w:p w14:paraId="6067F6DD" w14:textId="3CBE3389" w:rsidR="00352526" w:rsidRDefault="00352526"/>
    <w:p w14:paraId="6F73F8CE" w14:textId="0D6C191C" w:rsidR="00352526" w:rsidRPr="001D1C34" w:rsidRDefault="00C57167" w:rsidP="00C47EC8">
      <w:pPr>
        <w:spacing w:after="220"/>
        <w:rPr>
          <w:rFonts w:ascii="Gadugi" w:hAnsi="Gadugi"/>
          <w:b/>
          <w:bCs/>
          <w:color w:val="111E6C"/>
          <w:sz w:val="36"/>
          <w:szCs w:val="36"/>
        </w:rPr>
      </w:pPr>
      <w:r>
        <w:rPr>
          <w:rFonts w:ascii="Gadugi" w:hAnsi="Gadugi"/>
          <w:b/>
          <w:bCs/>
          <w:color w:val="111E6C"/>
          <w:sz w:val="36"/>
          <w:szCs w:val="36"/>
        </w:rPr>
        <w:t>Direct Debit Mandate</w:t>
      </w:r>
    </w:p>
    <w:p w14:paraId="5FEFA213" w14:textId="5C4B798C" w:rsidR="00D832DA" w:rsidRPr="00662D8E" w:rsidRDefault="00D832DA" w:rsidP="00A1414F">
      <w:pPr>
        <w:spacing w:after="220"/>
        <w:jc w:val="both"/>
        <w:rPr>
          <w:rFonts w:ascii="Gadugi" w:hAnsi="Gadugi"/>
          <w:color w:val="58595B"/>
        </w:rPr>
      </w:pPr>
      <w:proofErr w:type="gramStart"/>
      <w:r w:rsidRPr="00662D8E">
        <w:rPr>
          <w:rFonts w:ascii="Gadugi" w:hAnsi="Gadugi"/>
          <w:color w:val="58595B"/>
        </w:rPr>
        <w:t>In order for</w:t>
      </w:r>
      <w:proofErr w:type="gramEnd"/>
      <w:r w:rsidRPr="00662D8E">
        <w:rPr>
          <w:rFonts w:ascii="Gadugi" w:hAnsi="Gadugi"/>
          <w:color w:val="58595B"/>
        </w:rPr>
        <w:t xml:space="preserve"> us to make the process of making payments for your investments as efficient as possible, we need you to agree to a Direct Debit mandate.</w:t>
      </w:r>
    </w:p>
    <w:p w14:paraId="0729A685" w14:textId="77777777" w:rsidR="00D832DA" w:rsidRPr="00662D8E" w:rsidRDefault="00D832DA" w:rsidP="00A1414F">
      <w:pPr>
        <w:spacing w:after="220"/>
        <w:jc w:val="both"/>
        <w:rPr>
          <w:rFonts w:ascii="Gadugi" w:hAnsi="Gadugi"/>
          <w:b/>
          <w:bCs/>
          <w:color w:val="58595B"/>
        </w:rPr>
      </w:pPr>
      <w:r w:rsidRPr="00662D8E">
        <w:rPr>
          <w:rFonts w:ascii="Gadugi" w:hAnsi="Gadugi"/>
          <w:b/>
          <w:bCs/>
          <w:color w:val="58595B"/>
        </w:rPr>
        <w:t>Please note that accepting this mandate does not mean you have to make any payments now.</w:t>
      </w:r>
    </w:p>
    <w:p w14:paraId="63E5FA35" w14:textId="13E347AB" w:rsidR="00D832DA" w:rsidRPr="00662D8E" w:rsidRDefault="00D832DA" w:rsidP="00A1414F">
      <w:pPr>
        <w:spacing w:after="220"/>
        <w:jc w:val="both"/>
        <w:rPr>
          <w:rFonts w:ascii="Gadugi" w:hAnsi="Gadugi"/>
          <w:color w:val="58595B"/>
        </w:rPr>
      </w:pPr>
      <w:r w:rsidRPr="00662D8E">
        <w:rPr>
          <w:rFonts w:ascii="Gadugi" w:hAnsi="Gadugi"/>
          <w:color w:val="58595B"/>
        </w:rPr>
        <w:t>Payments will only be requested when you make transactions, and you will be notified well in advance before any such payments take place. We will take your payment at the next available collection date. If this is your first payment, we need to create a direct debit mandate with your bank before we can collect the first payment. This can take over a week to establish. Should you wish to make a payment sooner</w:t>
      </w:r>
      <w:r w:rsidR="00D31274" w:rsidRPr="00662D8E">
        <w:rPr>
          <w:rFonts w:ascii="Gadugi" w:hAnsi="Gadugi"/>
          <w:color w:val="58595B"/>
        </w:rPr>
        <w:t>,</w:t>
      </w:r>
      <w:r w:rsidRPr="00662D8E">
        <w:rPr>
          <w:rFonts w:ascii="Gadugi" w:hAnsi="Gadugi"/>
          <w:color w:val="58595B"/>
        </w:rPr>
        <w:t xml:space="preserve"> please select the </w:t>
      </w:r>
      <w:r w:rsidR="00D31274" w:rsidRPr="00662D8E">
        <w:rPr>
          <w:rFonts w:ascii="Gadugi" w:hAnsi="Gadugi"/>
          <w:color w:val="58595B"/>
        </w:rPr>
        <w:t>‘</w:t>
      </w:r>
      <w:r w:rsidRPr="00662D8E">
        <w:rPr>
          <w:rFonts w:ascii="Gadugi" w:hAnsi="Gadugi"/>
          <w:color w:val="58595B"/>
        </w:rPr>
        <w:t>bank transfer</w:t>
      </w:r>
      <w:r w:rsidR="00D31274" w:rsidRPr="00662D8E">
        <w:rPr>
          <w:rFonts w:ascii="Gadugi" w:hAnsi="Gadugi"/>
          <w:color w:val="58595B"/>
        </w:rPr>
        <w:t>’</w:t>
      </w:r>
      <w:r w:rsidRPr="00662D8E">
        <w:rPr>
          <w:rFonts w:ascii="Gadugi" w:hAnsi="Gadugi"/>
          <w:color w:val="58595B"/>
        </w:rPr>
        <w:t xml:space="preserve"> option.</w:t>
      </w:r>
    </w:p>
    <w:p w14:paraId="08BC9E72" w14:textId="2B9B1ABC" w:rsidR="00D832DA" w:rsidRPr="00662D8E" w:rsidRDefault="00D832DA" w:rsidP="00A1414F">
      <w:pPr>
        <w:spacing w:after="220"/>
        <w:jc w:val="both"/>
        <w:rPr>
          <w:rFonts w:ascii="Gadugi" w:hAnsi="Gadugi"/>
          <w:color w:val="58595B"/>
        </w:rPr>
      </w:pPr>
      <w:r w:rsidRPr="00662D8E">
        <w:rPr>
          <w:rFonts w:ascii="Gadugi" w:hAnsi="Gadugi"/>
          <w:color w:val="58595B"/>
        </w:rPr>
        <w:t>Depending on when you create a regular payment</w:t>
      </w:r>
      <w:r w:rsidR="003E26BF" w:rsidRPr="00662D8E">
        <w:rPr>
          <w:rFonts w:ascii="Gadugi" w:hAnsi="Gadugi"/>
          <w:color w:val="58595B"/>
        </w:rPr>
        <w:t>,</w:t>
      </w:r>
      <w:r w:rsidRPr="00662D8E">
        <w:rPr>
          <w:rFonts w:ascii="Gadugi" w:hAnsi="Gadugi"/>
          <w:color w:val="58595B"/>
        </w:rPr>
        <w:t xml:space="preserve"> the first payment may be collected the following month.</w:t>
      </w:r>
    </w:p>
    <w:p w14:paraId="6177B511" w14:textId="77777777" w:rsidR="003E26BF" w:rsidRPr="00662D8E" w:rsidRDefault="00D832DA" w:rsidP="00A1414F">
      <w:pPr>
        <w:spacing w:after="220"/>
        <w:jc w:val="both"/>
        <w:rPr>
          <w:rFonts w:ascii="Gadugi" w:hAnsi="Gadugi"/>
          <w:color w:val="58595B"/>
        </w:rPr>
      </w:pPr>
      <w:r w:rsidRPr="00662D8E">
        <w:rPr>
          <w:rFonts w:ascii="Gadugi" w:hAnsi="Gadugi"/>
          <w:color w:val="58595B"/>
        </w:rPr>
        <w:t>If you wish</w:t>
      </w:r>
      <w:r w:rsidR="003E26BF" w:rsidRPr="00662D8E">
        <w:rPr>
          <w:rFonts w:ascii="Gadugi" w:hAnsi="Gadugi"/>
          <w:color w:val="58595B"/>
        </w:rPr>
        <w:t>,</w:t>
      </w:r>
      <w:r w:rsidRPr="00662D8E">
        <w:rPr>
          <w:rFonts w:ascii="Gadugi" w:hAnsi="Gadugi"/>
          <w:color w:val="58595B"/>
        </w:rPr>
        <w:t xml:space="preserve"> you can skip this step and continue to create an account without agreeing to the Direct Debit mandate.</w:t>
      </w:r>
    </w:p>
    <w:p w14:paraId="6D0ACFAD" w14:textId="77777777" w:rsidR="00067AD1" w:rsidRDefault="00067AD1">
      <w:pPr>
        <w:rPr>
          <w:rFonts w:ascii="Gadugi" w:hAnsi="Gadugi"/>
          <w:b/>
          <w:bCs/>
          <w:color w:val="58595B"/>
          <w:sz w:val="28"/>
          <w:szCs w:val="28"/>
        </w:rPr>
      </w:pPr>
      <w:r>
        <w:rPr>
          <w:rFonts w:ascii="Gadugi" w:hAnsi="Gadugi"/>
          <w:b/>
          <w:bCs/>
          <w:color w:val="58595B"/>
          <w:sz w:val="28"/>
          <w:szCs w:val="28"/>
        </w:rPr>
        <w:br w:type="page"/>
      </w:r>
    </w:p>
    <w:p w14:paraId="20FDF24C" w14:textId="77777777" w:rsidR="000B0C05" w:rsidRDefault="000B0C05" w:rsidP="00D832DA">
      <w:pPr>
        <w:spacing w:after="220"/>
        <w:rPr>
          <w:rFonts w:ascii="Gadugi" w:hAnsi="Gadugi"/>
          <w:b/>
          <w:bCs/>
          <w:color w:val="58595B"/>
          <w:sz w:val="28"/>
          <w:szCs w:val="28"/>
        </w:rPr>
        <w:sectPr w:rsidR="000B0C05" w:rsidSect="000B0C05">
          <w:footerReference w:type="default" r:id="rId10"/>
          <w:footerReference w:type="first" r:id="rId11"/>
          <w:pgSz w:w="11906" w:h="16838"/>
          <w:pgMar w:top="1440" w:right="1440" w:bottom="1440" w:left="1440" w:header="708" w:footer="708" w:gutter="0"/>
          <w:cols w:space="708"/>
          <w:titlePg/>
          <w:docGrid w:linePitch="360"/>
        </w:sectPr>
      </w:pPr>
    </w:p>
    <w:p w14:paraId="7DFD33FC" w14:textId="76601A24" w:rsidR="00710653" w:rsidRDefault="00E031E2" w:rsidP="00D832DA">
      <w:pPr>
        <w:spacing w:after="220"/>
        <w:rPr>
          <w:rFonts w:ascii="Gadugi" w:hAnsi="Gadugi"/>
          <w:b/>
          <w:bCs/>
          <w:color w:val="58595B"/>
          <w:sz w:val="28"/>
          <w:szCs w:val="28"/>
        </w:rPr>
      </w:pPr>
      <w:r>
        <w:rPr>
          <w:rFonts w:ascii="Gadugi" w:hAnsi="Gadugi"/>
          <w:b/>
          <w:bCs/>
          <w:color w:val="58595B"/>
          <w:sz w:val="28"/>
          <w:szCs w:val="28"/>
        </w:rPr>
        <w:lastRenderedPageBreak/>
        <w:t>Seccl Custody Ltd</w:t>
      </w:r>
    </w:p>
    <w:p w14:paraId="43844926" w14:textId="77777777" w:rsidR="00746CE5" w:rsidRDefault="00F10E68" w:rsidP="00746CE5">
      <w:pPr>
        <w:spacing w:after="0"/>
        <w:rPr>
          <w:rFonts w:ascii="Gadugi" w:hAnsi="Gadugi"/>
          <w:color w:val="58595B"/>
        </w:rPr>
      </w:pPr>
      <w:r>
        <w:rPr>
          <w:rFonts w:ascii="Gadugi" w:hAnsi="Gadugi"/>
          <w:color w:val="58595B"/>
        </w:rPr>
        <w:t xml:space="preserve">20 Manvers St, </w:t>
      </w:r>
    </w:p>
    <w:p w14:paraId="465D18D1" w14:textId="77777777" w:rsidR="00746CE5" w:rsidRDefault="00F10E68" w:rsidP="00746CE5">
      <w:pPr>
        <w:spacing w:after="0"/>
        <w:rPr>
          <w:rFonts w:ascii="Gadugi" w:hAnsi="Gadugi"/>
          <w:color w:val="58595B"/>
        </w:rPr>
      </w:pPr>
      <w:r>
        <w:rPr>
          <w:rFonts w:ascii="Gadugi" w:hAnsi="Gadugi"/>
          <w:color w:val="58595B"/>
        </w:rPr>
        <w:t xml:space="preserve">Bath, </w:t>
      </w:r>
    </w:p>
    <w:p w14:paraId="3738B0E9" w14:textId="3598EA31" w:rsidR="00F10E68" w:rsidRDefault="00AC6560" w:rsidP="00CE7421">
      <w:pPr>
        <w:spacing w:after="360"/>
        <w:rPr>
          <w:rFonts w:ascii="Gadugi" w:hAnsi="Gadugi"/>
          <w:color w:val="58595B"/>
        </w:rPr>
      </w:pPr>
      <w:r>
        <w:rPr>
          <w:rFonts w:ascii="Gadugi" w:hAnsi="Gadugi"/>
          <w:color w:val="58595B"/>
        </w:rPr>
        <w:t>BA1 1JW</w:t>
      </w:r>
    </w:p>
    <w:tbl>
      <w:tblPr>
        <w:tblStyle w:val="TableGrid"/>
        <w:tblW w:w="0" w:type="auto"/>
        <w:tblLook w:val="04A0" w:firstRow="1" w:lastRow="0" w:firstColumn="1" w:lastColumn="0" w:noHBand="0" w:noVBand="1"/>
      </w:tblPr>
      <w:tblGrid>
        <w:gridCol w:w="4143"/>
      </w:tblGrid>
      <w:tr w:rsidR="00ED290F" w14:paraId="08D080CD" w14:textId="77777777" w:rsidTr="00ED290F">
        <w:tc>
          <w:tcPr>
            <w:tcW w:w="4143" w:type="dxa"/>
            <w:shd w:val="clear" w:color="auto" w:fill="111E6C"/>
          </w:tcPr>
          <w:p w14:paraId="15C384F6" w14:textId="41310B43" w:rsidR="00ED290F" w:rsidRPr="00ED290F" w:rsidRDefault="00ED290F" w:rsidP="00B03303">
            <w:pPr>
              <w:rPr>
                <w:rFonts w:ascii="Gadugi" w:hAnsi="Gadugi"/>
                <w:color w:val="58595B"/>
              </w:rPr>
            </w:pPr>
            <w:r w:rsidRPr="00ED290F">
              <w:rPr>
                <w:rFonts w:ascii="Gadugi" w:hAnsi="Gadugi"/>
                <w:color w:val="FFFFFF" w:themeColor="background1"/>
              </w:rPr>
              <w:t>Name of Account Holder</w:t>
            </w:r>
          </w:p>
        </w:tc>
      </w:tr>
      <w:tr w:rsidR="00ED290F" w14:paraId="45EDFC5F" w14:textId="77777777" w:rsidTr="00ED290F">
        <w:tc>
          <w:tcPr>
            <w:tcW w:w="4143" w:type="dxa"/>
            <w:shd w:val="clear" w:color="auto" w:fill="F2F2F2"/>
          </w:tcPr>
          <w:p w14:paraId="744FD130" w14:textId="77777777" w:rsidR="00ED290F" w:rsidRDefault="00ED290F" w:rsidP="00B03303">
            <w:pPr>
              <w:rPr>
                <w:rFonts w:ascii="Gadugi" w:hAnsi="Gadugi"/>
                <w:b/>
                <w:bCs/>
                <w:color w:val="58595B"/>
              </w:rPr>
            </w:pPr>
          </w:p>
          <w:p w14:paraId="1D40E7C7" w14:textId="77777777" w:rsidR="00ED290F" w:rsidRDefault="00ED290F" w:rsidP="00B03303">
            <w:pPr>
              <w:rPr>
                <w:rFonts w:ascii="Gadugi" w:hAnsi="Gadugi"/>
                <w:b/>
                <w:bCs/>
                <w:color w:val="58595B"/>
              </w:rPr>
            </w:pPr>
          </w:p>
          <w:p w14:paraId="41E9EB20" w14:textId="77777777" w:rsidR="00ED290F" w:rsidRDefault="00ED290F" w:rsidP="00B03303">
            <w:pPr>
              <w:rPr>
                <w:rFonts w:ascii="Gadugi" w:hAnsi="Gadugi"/>
                <w:b/>
                <w:bCs/>
                <w:color w:val="58595B"/>
              </w:rPr>
            </w:pPr>
          </w:p>
        </w:tc>
      </w:tr>
    </w:tbl>
    <w:p w14:paraId="44288377" w14:textId="77777777" w:rsidR="00B03303" w:rsidRPr="005B193B" w:rsidRDefault="00B03303"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015FC7" w14:paraId="1CA4B359" w14:textId="77777777" w:rsidTr="000E73D3">
        <w:tc>
          <w:tcPr>
            <w:tcW w:w="4143" w:type="dxa"/>
            <w:shd w:val="clear" w:color="auto" w:fill="111E6C"/>
          </w:tcPr>
          <w:p w14:paraId="0A8EA034" w14:textId="3FE087A7" w:rsidR="00015FC7" w:rsidRPr="00ED290F" w:rsidRDefault="00DE5E82" w:rsidP="000E73D3">
            <w:pPr>
              <w:rPr>
                <w:rFonts w:ascii="Gadugi" w:hAnsi="Gadugi"/>
                <w:color w:val="58595B"/>
              </w:rPr>
            </w:pPr>
            <w:r>
              <w:rPr>
                <w:rFonts w:ascii="Gadugi" w:hAnsi="Gadugi"/>
                <w:color w:val="FFFFFF" w:themeColor="background1"/>
              </w:rPr>
              <w:t>Bank/Building Society Sort Code</w:t>
            </w:r>
          </w:p>
        </w:tc>
      </w:tr>
      <w:tr w:rsidR="00015FC7" w14:paraId="491FDAB4" w14:textId="77777777" w:rsidTr="000E73D3">
        <w:tc>
          <w:tcPr>
            <w:tcW w:w="4143" w:type="dxa"/>
            <w:shd w:val="clear" w:color="auto" w:fill="F2F2F2"/>
          </w:tcPr>
          <w:p w14:paraId="7581299B" w14:textId="77777777" w:rsidR="00015FC7" w:rsidRDefault="00015FC7" w:rsidP="000E73D3">
            <w:pPr>
              <w:rPr>
                <w:rFonts w:ascii="Gadugi" w:hAnsi="Gadugi"/>
                <w:b/>
                <w:bCs/>
                <w:color w:val="58595B"/>
              </w:rPr>
            </w:pPr>
          </w:p>
          <w:p w14:paraId="0C0F7C4A" w14:textId="77777777" w:rsidR="00015FC7" w:rsidRDefault="00015FC7" w:rsidP="000E73D3">
            <w:pPr>
              <w:rPr>
                <w:rFonts w:ascii="Gadugi" w:hAnsi="Gadugi"/>
                <w:b/>
                <w:bCs/>
                <w:color w:val="58595B"/>
              </w:rPr>
            </w:pPr>
          </w:p>
        </w:tc>
      </w:tr>
    </w:tbl>
    <w:p w14:paraId="5A5584C6" w14:textId="77777777" w:rsidR="00767488" w:rsidRDefault="00767488"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015FC7" w14:paraId="3C821F5C" w14:textId="77777777" w:rsidTr="000E73D3">
        <w:tc>
          <w:tcPr>
            <w:tcW w:w="4143" w:type="dxa"/>
            <w:shd w:val="clear" w:color="auto" w:fill="111E6C"/>
          </w:tcPr>
          <w:p w14:paraId="60627728" w14:textId="0638D707" w:rsidR="00015FC7" w:rsidRPr="00ED290F" w:rsidRDefault="00DE5E82" w:rsidP="000E73D3">
            <w:pPr>
              <w:rPr>
                <w:rFonts w:ascii="Gadugi" w:hAnsi="Gadugi"/>
                <w:color w:val="58595B"/>
              </w:rPr>
            </w:pPr>
            <w:r>
              <w:rPr>
                <w:rFonts w:ascii="Gadugi" w:hAnsi="Gadugi"/>
                <w:color w:val="FFFFFF" w:themeColor="background1"/>
              </w:rPr>
              <w:t>Bank/Building Society Account Number</w:t>
            </w:r>
          </w:p>
        </w:tc>
      </w:tr>
      <w:tr w:rsidR="00015FC7" w14:paraId="0437F34D" w14:textId="77777777" w:rsidTr="000E73D3">
        <w:tc>
          <w:tcPr>
            <w:tcW w:w="4143" w:type="dxa"/>
            <w:shd w:val="clear" w:color="auto" w:fill="F2F2F2"/>
          </w:tcPr>
          <w:p w14:paraId="66F9E07D" w14:textId="77777777" w:rsidR="00015FC7" w:rsidRDefault="00015FC7" w:rsidP="000E73D3">
            <w:pPr>
              <w:rPr>
                <w:rFonts w:ascii="Gadugi" w:hAnsi="Gadugi"/>
                <w:b/>
                <w:bCs/>
                <w:color w:val="58595B"/>
              </w:rPr>
            </w:pPr>
          </w:p>
          <w:p w14:paraId="1ED8F4E7" w14:textId="77777777" w:rsidR="00015FC7" w:rsidRDefault="00015FC7" w:rsidP="000E73D3">
            <w:pPr>
              <w:rPr>
                <w:rFonts w:ascii="Gadugi" w:hAnsi="Gadugi"/>
                <w:b/>
                <w:bCs/>
                <w:color w:val="58595B"/>
              </w:rPr>
            </w:pPr>
          </w:p>
        </w:tc>
      </w:tr>
    </w:tbl>
    <w:p w14:paraId="77ADC4C3" w14:textId="77777777" w:rsidR="00015FC7" w:rsidRPr="005B193B" w:rsidRDefault="00015FC7" w:rsidP="00B03303">
      <w:pPr>
        <w:spacing w:after="0"/>
        <w:rPr>
          <w:rFonts w:ascii="Gadugi" w:hAnsi="Gadugi"/>
          <w:b/>
          <w:bCs/>
          <w:color w:val="58595B"/>
        </w:rPr>
      </w:pPr>
    </w:p>
    <w:tbl>
      <w:tblPr>
        <w:tblStyle w:val="TableGrid"/>
        <w:tblW w:w="0" w:type="auto"/>
        <w:tblLook w:val="04A0" w:firstRow="1" w:lastRow="0" w:firstColumn="1" w:lastColumn="0" w:noHBand="0" w:noVBand="1"/>
      </w:tblPr>
      <w:tblGrid>
        <w:gridCol w:w="4143"/>
      </w:tblGrid>
      <w:tr w:rsidR="00842731" w14:paraId="00FEDF98" w14:textId="77777777" w:rsidTr="000E73D3">
        <w:tc>
          <w:tcPr>
            <w:tcW w:w="4143" w:type="dxa"/>
            <w:shd w:val="clear" w:color="auto" w:fill="111E6C"/>
          </w:tcPr>
          <w:p w14:paraId="2B9EAA7A" w14:textId="1445E5D5" w:rsidR="00842731" w:rsidRPr="00ED290F" w:rsidRDefault="00842731" w:rsidP="000E73D3">
            <w:pPr>
              <w:rPr>
                <w:rFonts w:ascii="Gadugi" w:hAnsi="Gadugi"/>
                <w:color w:val="58595B"/>
              </w:rPr>
            </w:pPr>
            <w:r w:rsidRPr="00ED290F">
              <w:rPr>
                <w:rFonts w:ascii="Gadugi" w:hAnsi="Gadugi"/>
                <w:color w:val="FFFFFF" w:themeColor="background1"/>
              </w:rPr>
              <w:t xml:space="preserve">Name </w:t>
            </w:r>
            <w:r>
              <w:rPr>
                <w:rFonts w:ascii="Gadugi" w:hAnsi="Gadugi"/>
                <w:color w:val="FFFFFF" w:themeColor="background1"/>
              </w:rPr>
              <w:t xml:space="preserve">and </w:t>
            </w:r>
            <w:r w:rsidR="001F47DD">
              <w:rPr>
                <w:rFonts w:ascii="Gadugi" w:hAnsi="Gadugi"/>
                <w:color w:val="FFFFFF" w:themeColor="background1"/>
              </w:rPr>
              <w:t xml:space="preserve">postal </w:t>
            </w:r>
            <w:r>
              <w:rPr>
                <w:rFonts w:ascii="Gadugi" w:hAnsi="Gadugi"/>
                <w:color w:val="FFFFFF" w:themeColor="background1"/>
              </w:rPr>
              <w:t>address</w:t>
            </w:r>
            <w:r w:rsidR="001F47DD">
              <w:rPr>
                <w:rFonts w:ascii="Gadugi" w:hAnsi="Gadugi"/>
                <w:color w:val="FFFFFF" w:themeColor="background1"/>
              </w:rPr>
              <w:t xml:space="preserve"> of your Bank/Building Society</w:t>
            </w:r>
          </w:p>
        </w:tc>
      </w:tr>
      <w:tr w:rsidR="00842731" w14:paraId="5D3D8DE0" w14:textId="77777777" w:rsidTr="000E73D3">
        <w:tc>
          <w:tcPr>
            <w:tcW w:w="4143" w:type="dxa"/>
            <w:shd w:val="clear" w:color="auto" w:fill="F2F2F2"/>
          </w:tcPr>
          <w:p w14:paraId="4CD47274" w14:textId="77777777" w:rsidR="00842731" w:rsidRDefault="00842731" w:rsidP="000E73D3">
            <w:pPr>
              <w:rPr>
                <w:rFonts w:ascii="Gadugi" w:hAnsi="Gadugi"/>
                <w:b/>
                <w:bCs/>
                <w:color w:val="58595B"/>
              </w:rPr>
            </w:pPr>
          </w:p>
          <w:p w14:paraId="0D37BABD" w14:textId="77777777" w:rsidR="00842731" w:rsidRDefault="00842731" w:rsidP="000E73D3">
            <w:pPr>
              <w:rPr>
                <w:rFonts w:ascii="Gadugi" w:hAnsi="Gadugi"/>
                <w:b/>
                <w:bCs/>
                <w:color w:val="58595B"/>
              </w:rPr>
            </w:pPr>
          </w:p>
          <w:p w14:paraId="7B5E23FE" w14:textId="77777777" w:rsidR="00842731" w:rsidRDefault="00842731" w:rsidP="000E73D3">
            <w:pPr>
              <w:rPr>
                <w:rFonts w:ascii="Gadugi" w:hAnsi="Gadugi"/>
                <w:b/>
                <w:bCs/>
                <w:color w:val="58595B"/>
              </w:rPr>
            </w:pPr>
          </w:p>
          <w:p w14:paraId="09E38F9F" w14:textId="77777777" w:rsidR="001F47DD" w:rsidRDefault="001F47DD" w:rsidP="000E73D3">
            <w:pPr>
              <w:rPr>
                <w:rFonts w:ascii="Gadugi" w:hAnsi="Gadugi"/>
                <w:b/>
                <w:bCs/>
                <w:color w:val="58595B"/>
              </w:rPr>
            </w:pPr>
          </w:p>
          <w:p w14:paraId="58F0E457" w14:textId="77777777" w:rsidR="001F47DD" w:rsidRDefault="001F47DD" w:rsidP="000E73D3">
            <w:pPr>
              <w:rPr>
                <w:rFonts w:ascii="Gadugi" w:hAnsi="Gadugi"/>
                <w:b/>
                <w:bCs/>
                <w:color w:val="58595B"/>
              </w:rPr>
            </w:pPr>
          </w:p>
          <w:p w14:paraId="2E03A77F" w14:textId="77777777" w:rsidR="001F47DD" w:rsidRDefault="001F47DD" w:rsidP="000E73D3">
            <w:pPr>
              <w:rPr>
                <w:rFonts w:ascii="Gadugi" w:hAnsi="Gadugi"/>
                <w:b/>
                <w:bCs/>
                <w:color w:val="58595B"/>
              </w:rPr>
            </w:pPr>
          </w:p>
        </w:tc>
      </w:tr>
    </w:tbl>
    <w:p w14:paraId="32A7FBBB" w14:textId="5D68D31E" w:rsidR="00331158" w:rsidRDefault="00331158" w:rsidP="006F105C">
      <w:pPr>
        <w:rPr>
          <w:rFonts w:ascii="Gadugi" w:hAnsi="Gadugi"/>
          <w:color w:val="58595B"/>
          <w:sz w:val="16"/>
          <w:szCs w:val="16"/>
        </w:rPr>
      </w:pPr>
      <w:r>
        <w:rPr>
          <w:rFonts w:ascii="Gadugi" w:hAnsi="Gadugi"/>
          <w:color w:val="58595B"/>
          <w:sz w:val="16"/>
          <w:szCs w:val="16"/>
        </w:rPr>
        <w:br w:type="column"/>
      </w:r>
    </w:p>
    <w:p w14:paraId="2EE936F5" w14:textId="0A298857" w:rsidR="00746CE5" w:rsidRDefault="00A1414F" w:rsidP="006F105C">
      <w:pPr>
        <w:rPr>
          <w:rFonts w:ascii="Gadugi" w:hAnsi="Gadugi"/>
          <w:color w:val="58595B"/>
          <w:sz w:val="16"/>
          <w:szCs w:val="16"/>
        </w:rPr>
      </w:pPr>
      <w:r>
        <w:rPr>
          <w:noProof/>
        </w:rPr>
        <w:drawing>
          <wp:anchor distT="0" distB="0" distL="114300" distR="114300" simplePos="0" relativeHeight="251661312" behindDoc="0" locked="0" layoutInCell="1" allowOverlap="1" wp14:anchorId="12831D98" wp14:editId="7234C753">
            <wp:simplePos x="0" y="0"/>
            <wp:positionH relativeFrom="column">
              <wp:posOffset>382270</wp:posOffset>
            </wp:positionH>
            <wp:positionV relativeFrom="paragraph">
              <wp:posOffset>-247650</wp:posOffset>
            </wp:positionV>
            <wp:extent cx="2637155" cy="1212850"/>
            <wp:effectExtent l="0" t="0" r="0" b="6350"/>
            <wp:wrapSquare wrapText="bothSides"/>
            <wp:docPr id="103343554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35546" name="Picture 1" descr="A black text on a white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37155" cy="1212850"/>
                    </a:xfrm>
                    <a:prstGeom prst="rect">
                      <a:avLst/>
                    </a:prstGeom>
                  </pic:spPr>
                </pic:pic>
              </a:graphicData>
            </a:graphic>
            <wp14:sizeRelH relativeFrom="margin">
              <wp14:pctWidth>0</wp14:pctWidth>
            </wp14:sizeRelH>
            <wp14:sizeRelV relativeFrom="margin">
              <wp14:pctHeight>0</wp14:pctHeight>
            </wp14:sizeRelV>
          </wp:anchor>
        </w:drawing>
      </w:r>
    </w:p>
    <w:p w14:paraId="224E943D" w14:textId="77777777" w:rsidR="00746CE5" w:rsidRDefault="00746CE5" w:rsidP="006F105C">
      <w:pPr>
        <w:rPr>
          <w:rFonts w:ascii="Gadugi" w:hAnsi="Gadugi"/>
          <w:color w:val="58595B"/>
          <w:sz w:val="16"/>
          <w:szCs w:val="16"/>
        </w:rPr>
      </w:pPr>
    </w:p>
    <w:p w14:paraId="12F6BFB8" w14:textId="77777777" w:rsidR="00746CE5" w:rsidRDefault="00746CE5" w:rsidP="006F105C">
      <w:pPr>
        <w:rPr>
          <w:rFonts w:ascii="Gadugi" w:hAnsi="Gadugi"/>
          <w:color w:val="58595B"/>
          <w:sz w:val="16"/>
          <w:szCs w:val="16"/>
        </w:rPr>
      </w:pPr>
    </w:p>
    <w:p w14:paraId="0689762D" w14:textId="77777777" w:rsidR="00746CE5" w:rsidRDefault="00746CE5" w:rsidP="006F105C">
      <w:pPr>
        <w:rPr>
          <w:rFonts w:ascii="Gadugi" w:hAnsi="Gadugi"/>
          <w:color w:val="58595B"/>
          <w:sz w:val="16"/>
          <w:szCs w:val="16"/>
        </w:rPr>
      </w:pPr>
    </w:p>
    <w:tbl>
      <w:tblPr>
        <w:tblStyle w:val="TableGrid"/>
        <w:tblW w:w="0" w:type="auto"/>
        <w:tblLook w:val="04A0" w:firstRow="1" w:lastRow="0" w:firstColumn="1" w:lastColumn="0" w:noHBand="0" w:noVBand="1"/>
      </w:tblPr>
      <w:tblGrid>
        <w:gridCol w:w="690"/>
        <w:gridCol w:w="691"/>
        <w:gridCol w:w="690"/>
        <w:gridCol w:w="691"/>
        <w:gridCol w:w="690"/>
        <w:gridCol w:w="691"/>
      </w:tblGrid>
      <w:tr w:rsidR="00746CE5" w14:paraId="0FDA14C6" w14:textId="77777777" w:rsidTr="000E73D3">
        <w:tc>
          <w:tcPr>
            <w:tcW w:w="4143" w:type="dxa"/>
            <w:gridSpan w:val="6"/>
            <w:shd w:val="clear" w:color="auto" w:fill="111E6C"/>
          </w:tcPr>
          <w:p w14:paraId="57346380" w14:textId="57F94BC7" w:rsidR="00746CE5" w:rsidRPr="00ED290F" w:rsidRDefault="00187101" w:rsidP="000E73D3">
            <w:pPr>
              <w:rPr>
                <w:rFonts w:ascii="Gadugi" w:hAnsi="Gadugi"/>
                <w:color w:val="58595B"/>
              </w:rPr>
            </w:pPr>
            <w:r>
              <w:rPr>
                <w:rFonts w:ascii="Gadugi" w:hAnsi="Gadugi"/>
                <w:color w:val="FFFFFF" w:themeColor="background1"/>
              </w:rPr>
              <w:t>Service User Number</w:t>
            </w:r>
          </w:p>
        </w:tc>
      </w:tr>
      <w:tr w:rsidR="00187101" w14:paraId="2CE1CA4B" w14:textId="77777777" w:rsidTr="00A350AF">
        <w:tc>
          <w:tcPr>
            <w:tcW w:w="690" w:type="dxa"/>
            <w:shd w:val="clear" w:color="auto" w:fill="F2F2F2"/>
          </w:tcPr>
          <w:p w14:paraId="754CA204" w14:textId="448D08F2"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1</w:t>
            </w:r>
          </w:p>
        </w:tc>
        <w:tc>
          <w:tcPr>
            <w:tcW w:w="691" w:type="dxa"/>
            <w:shd w:val="clear" w:color="auto" w:fill="F2F2F2"/>
          </w:tcPr>
          <w:p w14:paraId="65FEBCD6" w14:textId="1E9A6AEE"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8</w:t>
            </w:r>
          </w:p>
        </w:tc>
        <w:tc>
          <w:tcPr>
            <w:tcW w:w="690" w:type="dxa"/>
            <w:shd w:val="clear" w:color="auto" w:fill="F2F2F2"/>
          </w:tcPr>
          <w:p w14:paraId="789F5A1F" w14:textId="2504F538"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4</w:t>
            </w:r>
          </w:p>
        </w:tc>
        <w:tc>
          <w:tcPr>
            <w:tcW w:w="691" w:type="dxa"/>
            <w:shd w:val="clear" w:color="auto" w:fill="F2F2F2"/>
          </w:tcPr>
          <w:p w14:paraId="1451452F" w14:textId="4A402721"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2</w:t>
            </w:r>
          </w:p>
        </w:tc>
        <w:tc>
          <w:tcPr>
            <w:tcW w:w="690" w:type="dxa"/>
            <w:shd w:val="clear" w:color="auto" w:fill="F2F2F2"/>
          </w:tcPr>
          <w:p w14:paraId="0CD7E189" w14:textId="1A2A0943"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7</w:t>
            </w:r>
          </w:p>
        </w:tc>
        <w:tc>
          <w:tcPr>
            <w:tcW w:w="691" w:type="dxa"/>
            <w:shd w:val="clear" w:color="auto" w:fill="F2F2F2"/>
          </w:tcPr>
          <w:p w14:paraId="21148FEA" w14:textId="59B214DF" w:rsidR="00187101" w:rsidRPr="009F4942" w:rsidRDefault="009F4942" w:rsidP="009F4942">
            <w:pPr>
              <w:jc w:val="center"/>
              <w:rPr>
                <w:rFonts w:ascii="Gadugi" w:hAnsi="Gadugi"/>
                <w:b/>
                <w:bCs/>
                <w:color w:val="58595B"/>
                <w:sz w:val="40"/>
                <w:szCs w:val="40"/>
              </w:rPr>
            </w:pPr>
            <w:r w:rsidRPr="009F4942">
              <w:rPr>
                <w:rFonts w:ascii="Gadugi" w:hAnsi="Gadugi"/>
                <w:b/>
                <w:bCs/>
                <w:color w:val="58595B"/>
                <w:sz w:val="40"/>
                <w:szCs w:val="40"/>
              </w:rPr>
              <w:t>6</w:t>
            </w:r>
          </w:p>
        </w:tc>
      </w:tr>
    </w:tbl>
    <w:p w14:paraId="3DED647A" w14:textId="77777777" w:rsidR="00746CE5" w:rsidRDefault="00746CE5" w:rsidP="006F105C">
      <w:pPr>
        <w:rPr>
          <w:rFonts w:ascii="Gadugi" w:hAnsi="Gadugi"/>
          <w:color w:val="58595B"/>
          <w:sz w:val="16"/>
          <w:szCs w:val="16"/>
        </w:rPr>
      </w:pPr>
    </w:p>
    <w:p w14:paraId="6B23EA93" w14:textId="77777777" w:rsidR="009034E1" w:rsidRDefault="009034E1" w:rsidP="009034E1">
      <w:pPr>
        <w:spacing w:after="40"/>
        <w:rPr>
          <w:rFonts w:ascii="Gadugi" w:hAnsi="Gadugi"/>
          <w:color w:val="58595B"/>
          <w:sz w:val="16"/>
          <w:szCs w:val="16"/>
        </w:rPr>
      </w:pPr>
    </w:p>
    <w:tbl>
      <w:tblPr>
        <w:tblStyle w:val="TableGrid"/>
        <w:tblW w:w="0" w:type="auto"/>
        <w:tblLook w:val="04A0" w:firstRow="1" w:lastRow="0" w:firstColumn="1" w:lastColumn="0" w:noHBand="0" w:noVBand="1"/>
      </w:tblPr>
      <w:tblGrid>
        <w:gridCol w:w="4143"/>
      </w:tblGrid>
      <w:tr w:rsidR="003A7F50" w14:paraId="11F6A021" w14:textId="77777777" w:rsidTr="000E73D3">
        <w:tc>
          <w:tcPr>
            <w:tcW w:w="4143" w:type="dxa"/>
            <w:shd w:val="clear" w:color="auto" w:fill="111E6C"/>
          </w:tcPr>
          <w:p w14:paraId="17617C9F" w14:textId="1C992504" w:rsidR="003A7F50" w:rsidRPr="00ED290F" w:rsidRDefault="003A7F50" w:rsidP="000E73D3">
            <w:pPr>
              <w:rPr>
                <w:rFonts w:ascii="Gadugi" w:hAnsi="Gadugi"/>
                <w:color w:val="58595B"/>
              </w:rPr>
            </w:pPr>
            <w:r>
              <w:rPr>
                <w:rFonts w:ascii="Gadugi" w:hAnsi="Gadugi"/>
                <w:color w:val="FFFFFF" w:themeColor="background1"/>
              </w:rPr>
              <w:t>Reference (Your Account ID)</w:t>
            </w:r>
          </w:p>
        </w:tc>
      </w:tr>
      <w:tr w:rsidR="003A7F50" w14:paraId="4192A6AB" w14:textId="77777777" w:rsidTr="000E73D3">
        <w:tc>
          <w:tcPr>
            <w:tcW w:w="4143" w:type="dxa"/>
            <w:shd w:val="clear" w:color="auto" w:fill="F2F2F2"/>
          </w:tcPr>
          <w:p w14:paraId="3D69C697" w14:textId="77777777" w:rsidR="003A7F50" w:rsidRDefault="003A7F50" w:rsidP="000E73D3">
            <w:pPr>
              <w:rPr>
                <w:rFonts w:ascii="Gadugi" w:hAnsi="Gadugi"/>
                <w:b/>
                <w:bCs/>
                <w:color w:val="58595B"/>
              </w:rPr>
            </w:pPr>
          </w:p>
          <w:p w14:paraId="1DF455F7" w14:textId="77777777" w:rsidR="003A7F50" w:rsidRDefault="003A7F50" w:rsidP="000E73D3">
            <w:pPr>
              <w:rPr>
                <w:rFonts w:ascii="Gadugi" w:hAnsi="Gadugi"/>
                <w:b/>
                <w:bCs/>
                <w:color w:val="58595B"/>
              </w:rPr>
            </w:pPr>
          </w:p>
        </w:tc>
      </w:tr>
    </w:tbl>
    <w:p w14:paraId="762227E5" w14:textId="77777777" w:rsidR="003A7F50" w:rsidRDefault="003A7F50" w:rsidP="006F105C">
      <w:pPr>
        <w:rPr>
          <w:rFonts w:ascii="Gadugi" w:hAnsi="Gadugi"/>
          <w:color w:val="58595B"/>
          <w:sz w:val="16"/>
          <w:szCs w:val="16"/>
        </w:rPr>
      </w:pPr>
    </w:p>
    <w:p w14:paraId="1E7A23E0" w14:textId="1C5AFDF6" w:rsidR="00AB7421" w:rsidRPr="007179B5" w:rsidRDefault="00AB7421" w:rsidP="00A1414F">
      <w:pPr>
        <w:spacing w:after="0"/>
        <w:jc w:val="both"/>
        <w:rPr>
          <w:rFonts w:ascii="Gadugi" w:hAnsi="Gadugi"/>
          <w:b/>
          <w:bCs/>
          <w:color w:val="58595B"/>
          <w:sz w:val="20"/>
          <w:szCs w:val="20"/>
        </w:rPr>
      </w:pPr>
      <w:r w:rsidRPr="007179B5">
        <w:rPr>
          <w:rFonts w:ascii="Gadugi" w:hAnsi="Gadugi"/>
          <w:b/>
          <w:bCs/>
          <w:color w:val="58595B"/>
          <w:sz w:val="20"/>
          <w:szCs w:val="20"/>
        </w:rPr>
        <w:t xml:space="preserve">Instruction to your </w:t>
      </w:r>
      <w:r w:rsidR="007179B5" w:rsidRPr="007179B5">
        <w:rPr>
          <w:rFonts w:ascii="Gadugi" w:hAnsi="Gadugi"/>
          <w:b/>
          <w:bCs/>
          <w:color w:val="58595B"/>
          <w:sz w:val="20"/>
          <w:szCs w:val="20"/>
        </w:rPr>
        <w:t>B</w:t>
      </w:r>
      <w:r w:rsidRPr="007179B5">
        <w:rPr>
          <w:rFonts w:ascii="Gadugi" w:hAnsi="Gadugi"/>
          <w:b/>
          <w:bCs/>
          <w:color w:val="58595B"/>
          <w:sz w:val="20"/>
          <w:szCs w:val="20"/>
        </w:rPr>
        <w:t>ank or Building Society</w:t>
      </w:r>
    </w:p>
    <w:p w14:paraId="26032B18" w14:textId="6AFA46C7" w:rsidR="00C1433E" w:rsidRDefault="00C1433E" w:rsidP="00A1414F">
      <w:pPr>
        <w:jc w:val="both"/>
        <w:rPr>
          <w:rFonts w:ascii="Gadugi" w:hAnsi="Gadugi"/>
          <w:color w:val="58595B"/>
          <w:sz w:val="16"/>
          <w:szCs w:val="16"/>
        </w:rPr>
      </w:pPr>
      <w:r>
        <w:rPr>
          <w:rFonts w:ascii="Gadugi" w:hAnsi="Gadugi"/>
          <w:color w:val="58595B"/>
          <w:sz w:val="16"/>
          <w:szCs w:val="16"/>
        </w:rPr>
        <w:t xml:space="preserve">Please pay Seccl Custody Ltd Direct Debits from the account detailed </w:t>
      </w:r>
      <w:r w:rsidR="00E93896">
        <w:rPr>
          <w:rFonts w:ascii="Gadugi" w:hAnsi="Gadugi"/>
          <w:color w:val="58595B"/>
          <w:sz w:val="16"/>
          <w:szCs w:val="16"/>
        </w:rPr>
        <w:t xml:space="preserve">in this instruction subject to the safeguards assured by the Direct Debit </w:t>
      </w:r>
      <w:r w:rsidR="0030626E">
        <w:rPr>
          <w:rFonts w:ascii="Gadugi" w:hAnsi="Gadugi"/>
          <w:color w:val="58595B"/>
          <w:sz w:val="16"/>
          <w:szCs w:val="16"/>
        </w:rPr>
        <w:t xml:space="preserve">Guarantee.  I understand that this instruction may remain with Seccl </w:t>
      </w:r>
      <w:r w:rsidR="003A72D9">
        <w:rPr>
          <w:rFonts w:ascii="Gadugi" w:hAnsi="Gadugi"/>
          <w:color w:val="58595B"/>
          <w:sz w:val="16"/>
          <w:szCs w:val="16"/>
        </w:rPr>
        <w:t>Custody Ltd and, if so, details will be passed to electronically to my bank/building society.</w:t>
      </w:r>
    </w:p>
    <w:p w14:paraId="1CFD692E" w14:textId="77777777" w:rsidR="009221E6" w:rsidRPr="009221E6" w:rsidRDefault="009221E6" w:rsidP="009221E6">
      <w:pPr>
        <w:spacing w:after="0"/>
        <w:rPr>
          <w:rFonts w:ascii="Gadugi" w:hAnsi="Gadugi"/>
          <w:color w:val="58595B"/>
          <w:sz w:val="32"/>
          <w:szCs w:val="32"/>
        </w:rPr>
      </w:pPr>
    </w:p>
    <w:tbl>
      <w:tblPr>
        <w:tblStyle w:val="TableGrid"/>
        <w:tblW w:w="0" w:type="auto"/>
        <w:tblLook w:val="04A0" w:firstRow="1" w:lastRow="0" w:firstColumn="1" w:lastColumn="0" w:noHBand="0" w:noVBand="1"/>
      </w:tblPr>
      <w:tblGrid>
        <w:gridCol w:w="4143"/>
      </w:tblGrid>
      <w:tr w:rsidR="009221E6" w14:paraId="3AD181C6" w14:textId="77777777" w:rsidTr="000E2673">
        <w:tc>
          <w:tcPr>
            <w:tcW w:w="4143" w:type="dxa"/>
            <w:shd w:val="clear" w:color="auto" w:fill="111E6C"/>
          </w:tcPr>
          <w:p w14:paraId="2BBADD88" w14:textId="01F32F5A" w:rsidR="009221E6" w:rsidRPr="00ED290F" w:rsidRDefault="009221E6" w:rsidP="000E2673">
            <w:pPr>
              <w:rPr>
                <w:rFonts w:ascii="Gadugi" w:hAnsi="Gadugi"/>
                <w:color w:val="58595B"/>
              </w:rPr>
            </w:pPr>
            <w:r>
              <w:rPr>
                <w:rFonts w:ascii="Gadugi" w:hAnsi="Gadugi"/>
                <w:color w:val="FFFFFF" w:themeColor="background1"/>
              </w:rPr>
              <w:t>Client Signature</w:t>
            </w:r>
          </w:p>
        </w:tc>
      </w:tr>
      <w:tr w:rsidR="009221E6" w14:paraId="32ACB224" w14:textId="77777777" w:rsidTr="000E2673">
        <w:tc>
          <w:tcPr>
            <w:tcW w:w="4143" w:type="dxa"/>
            <w:shd w:val="clear" w:color="auto" w:fill="F2F2F2"/>
          </w:tcPr>
          <w:p w14:paraId="126C5AD4" w14:textId="77777777" w:rsidR="009221E6" w:rsidRDefault="009221E6" w:rsidP="000E2673">
            <w:pPr>
              <w:rPr>
                <w:rFonts w:ascii="Gadugi" w:hAnsi="Gadugi"/>
                <w:b/>
                <w:bCs/>
                <w:color w:val="58595B"/>
              </w:rPr>
            </w:pPr>
          </w:p>
          <w:p w14:paraId="3B15076B" w14:textId="77777777" w:rsidR="009221E6" w:rsidRDefault="009221E6" w:rsidP="000E2673">
            <w:pPr>
              <w:rPr>
                <w:rFonts w:ascii="Gadugi" w:hAnsi="Gadugi"/>
                <w:b/>
                <w:bCs/>
                <w:color w:val="58595B"/>
              </w:rPr>
            </w:pPr>
          </w:p>
          <w:p w14:paraId="61E53EF2" w14:textId="77777777" w:rsidR="009221E6" w:rsidRDefault="009221E6" w:rsidP="000E2673">
            <w:pPr>
              <w:rPr>
                <w:rFonts w:ascii="Gadugi" w:hAnsi="Gadugi"/>
                <w:b/>
                <w:bCs/>
                <w:color w:val="58595B"/>
              </w:rPr>
            </w:pPr>
          </w:p>
        </w:tc>
      </w:tr>
    </w:tbl>
    <w:p w14:paraId="1C9795C2" w14:textId="77777777" w:rsidR="007B2A06" w:rsidRDefault="007B2A06" w:rsidP="006F105C">
      <w:pPr>
        <w:rPr>
          <w:rFonts w:ascii="Gadugi" w:hAnsi="Gadugi"/>
          <w:color w:val="58595B"/>
          <w:sz w:val="16"/>
          <w:szCs w:val="16"/>
        </w:rPr>
      </w:pPr>
    </w:p>
    <w:p w14:paraId="36E5FD5A" w14:textId="77777777" w:rsidR="007B2A06" w:rsidRDefault="007B2A06" w:rsidP="006F105C">
      <w:pPr>
        <w:rPr>
          <w:rFonts w:ascii="Gadugi" w:hAnsi="Gadugi"/>
          <w:color w:val="58595B"/>
          <w:sz w:val="16"/>
          <w:szCs w:val="16"/>
        </w:rPr>
        <w:sectPr w:rsidR="007B2A06" w:rsidSect="00331158">
          <w:footerReference w:type="first" r:id="rId13"/>
          <w:pgSz w:w="11906" w:h="16838"/>
          <w:pgMar w:top="1440" w:right="1440" w:bottom="1440" w:left="1440" w:header="708" w:footer="708" w:gutter="0"/>
          <w:cols w:num="2" w:space="720"/>
          <w:titlePg/>
          <w:docGrid w:linePitch="360"/>
        </w:sectPr>
      </w:pPr>
    </w:p>
    <w:p w14:paraId="318E3076" w14:textId="678589DF" w:rsidR="007B2A06" w:rsidRPr="00CE7421" w:rsidRDefault="007B2A06" w:rsidP="00A1414F">
      <w:pPr>
        <w:jc w:val="both"/>
        <w:rPr>
          <w:rFonts w:ascii="Gadugi" w:hAnsi="Gadugi"/>
          <w:color w:val="58595B"/>
          <w:sz w:val="20"/>
          <w:szCs w:val="20"/>
        </w:rPr>
      </w:pPr>
      <w:r w:rsidRPr="00CE7421">
        <w:rPr>
          <w:rFonts w:ascii="Gadugi" w:hAnsi="Gadugi"/>
          <w:color w:val="58595B"/>
          <w:sz w:val="20"/>
          <w:szCs w:val="20"/>
        </w:rPr>
        <w:t xml:space="preserve">Banks and Building Societies may not accept </w:t>
      </w:r>
      <w:r w:rsidR="004F0EF7" w:rsidRPr="00CE7421">
        <w:rPr>
          <w:rFonts w:ascii="Gadugi" w:hAnsi="Gadugi"/>
          <w:color w:val="58595B"/>
          <w:sz w:val="20"/>
          <w:szCs w:val="20"/>
        </w:rPr>
        <w:t>Direct Debit instructions for some types of account.</w:t>
      </w:r>
    </w:p>
    <w:p w14:paraId="787D40FC" w14:textId="47507195" w:rsidR="00261EC8" w:rsidRDefault="00CE7421" w:rsidP="00CE7421">
      <w:pPr>
        <w:spacing w:after="0"/>
        <w:rPr>
          <w:rFonts w:ascii="Gadugi" w:hAnsi="Gadugi"/>
          <w:color w:val="58595B"/>
          <w:sz w:val="24"/>
          <w:szCs w:val="24"/>
        </w:rPr>
      </w:pPr>
      <w:r>
        <w:rPr>
          <w:noProof/>
        </w:rPr>
        <w:drawing>
          <wp:inline distT="0" distB="0" distL="0" distR="0" wp14:anchorId="7422412F" wp14:editId="4DA5CEAA">
            <wp:extent cx="5912485" cy="710730"/>
            <wp:effectExtent l="0" t="0" r="0" b="0"/>
            <wp:docPr id="38324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40248" name=""/>
                    <pic:cNvPicPr/>
                  </pic:nvPicPr>
                  <pic:blipFill>
                    <a:blip r:embed="rId14"/>
                    <a:stretch>
                      <a:fillRect/>
                    </a:stretch>
                  </pic:blipFill>
                  <pic:spPr>
                    <a:xfrm>
                      <a:off x="0" y="0"/>
                      <a:ext cx="5971047" cy="717770"/>
                    </a:xfrm>
                    <a:prstGeom prst="rect">
                      <a:avLst/>
                    </a:prstGeom>
                  </pic:spPr>
                </pic:pic>
              </a:graphicData>
            </a:graphic>
          </wp:inline>
        </w:drawing>
      </w:r>
    </w:p>
    <w:p w14:paraId="4C7043A6" w14:textId="77777777" w:rsidR="00CE7421" w:rsidRPr="009B5A68" w:rsidRDefault="00CE7421" w:rsidP="00A1414F">
      <w:pPr>
        <w:numPr>
          <w:ilvl w:val="0"/>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The Guarantee is offered by all banks and building societies that accept instructions to pay Direct Debits</w:t>
      </w:r>
    </w:p>
    <w:p w14:paraId="5538E108" w14:textId="77777777" w:rsidR="00CE7421" w:rsidRPr="009B5A68" w:rsidRDefault="00CE7421" w:rsidP="00A1414F">
      <w:pPr>
        <w:numPr>
          <w:ilvl w:val="0"/>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If there are any changes to the amount, date or frequency of your Direct Debit the organisation will notify you (normally 10 working days) in advance of your account being debited or as otherwise agreed. If you request the organisation to collect a payment, confirmation of the amount and date will be given to you at the time of the request</w:t>
      </w:r>
    </w:p>
    <w:p w14:paraId="6021A661" w14:textId="7FA0964A" w:rsidR="00CE7421" w:rsidRPr="009B5A68" w:rsidRDefault="00CE7421" w:rsidP="00A1414F">
      <w:pPr>
        <w:numPr>
          <w:ilvl w:val="0"/>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If an error is made in the payment of your Direct Debit, by the organisation or your bank or building society, you are entitled to a full and immediate refund of the amount paid from your bank or building society</w:t>
      </w:r>
    </w:p>
    <w:p w14:paraId="4912968D" w14:textId="08F24238" w:rsidR="00CE7421" w:rsidRPr="009B5A68" w:rsidRDefault="00CE7421" w:rsidP="00A1414F">
      <w:pPr>
        <w:numPr>
          <w:ilvl w:val="1"/>
          <w:numId w:val="1"/>
        </w:numPr>
        <w:shd w:val="clear" w:color="auto" w:fill="FFFFFF"/>
        <w:spacing w:before="100" w:beforeAutospacing="1"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 xml:space="preserve">If you receive a </w:t>
      </w:r>
      <w:proofErr w:type="gramStart"/>
      <w:r w:rsidRPr="009B5A68">
        <w:rPr>
          <w:rFonts w:ascii="Gadugi" w:eastAsia="Times New Roman" w:hAnsi="Gadugi" w:cs="Calibri"/>
          <w:color w:val="000000"/>
          <w:sz w:val="16"/>
          <w:szCs w:val="16"/>
          <w:lang w:eastAsia="en-GB"/>
        </w:rPr>
        <w:t>refund</w:t>
      </w:r>
      <w:proofErr w:type="gramEnd"/>
      <w:r w:rsidRPr="009B5A68">
        <w:rPr>
          <w:rFonts w:ascii="Gadugi" w:eastAsia="Times New Roman" w:hAnsi="Gadugi" w:cs="Calibri"/>
          <w:color w:val="000000"/>
          <w:sz w:val="16"/>
          <w:szCs w:val="16"/>
          <w:lang w:eastAsia="en-GB"/>
        </w:rPr>
        <w:t xml:space="preserve"> you are not entitled to, you must pay it back when the organisation asks you to</w:t>
      </w:r>
    </w:p>
    <w:p w14:paraId="3DFC5DD8" w14:textId="069FB3B6" w:rsidR="00CE7421" w:rsidRPr="009B5A68" w:rsidRDefault="00CE7421" w:rsidP="00A1414F">
      <w:pPr>
        <w:numPr>
          <w:ilvl w:val="0"/>
          <w:numId w:val="5"/>
        </w:numPr>
        <w:shd w:val="clear" w:color="auto" w:fill="FFFFFF"/>
        <w:spacing w:after="0" w:line="345" w:lineRule="atLeast"/>
        <w:jc w:val="both"/>
        <w:rPr>
          <w:rFonts w:ascii="Gadugi" w:eastAsia="Times New Roman" w:hAnsi="Gadugi" w:cs="Calibri"/>
          <w:color w:val="000000"/>
          <w:sz w:val="16"/>
          <w:szCs w:val="16"/>
          <w:lang w:eastAsia="en-GB"/>
        </w:rPr>
      </w:pPr>
      <w:r w:rsidRPr="009B5A68">
        <w:rPr>
          <w:rFonts w:ascii="Gadugi" w:eastAsia="Times New Roman" w:hAnsi="Gadugi" w:cs="Calibri"/>
          <w:color w:val="000000"/>
          <w:sz w:val="16"/>
          <w:szCs w:val="16"/>
          <w:lang w:eastAsia="en-GB"/>
        </w:rPr>
        <w:t>You can cancel a Direct Debit at any time by simply contacting your bank or building society. Written confirmation may be required. Please also notify the organisation.</w:t>
      </w:r>
    </w:p>
    <w:sectPr w:rsidR="00CE7421" w:rsidRPr="009B5A68" w:rsidSect="007B2A06">
      <w:type w:val="continuous"/>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6439" w14:textId="77777777" w:rsidR="00DD136B" w:rsidRDefault="00DD136B" w:rsidP="00A447DA">
      <w:pPr>
        <w:spacing w:after="0" w:line="240" w:lineRule="auto"/>
      </w:pPr>
      <w:r>
        <w:separator/>
      </w:r>
    </w:p>
  </w:endnote>
  <w:endnote w:type="continuationSeparator" w:id="0">
    <w:p w14:paraId="1B5773E8" w14:textId="77777777" w:rsidR="00DD136B" w:rsidRDefault="00DD136B" w:rsidP="00A4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5126" w14:textId="009C703A" w:rsidR="006F105C" w:rsidRPr="006F105C" w:rsidRDefault="006F105C" w:rsidP="006F105C">
    <w:pPr>
      <w:spacing w:after="0"/>
      <w:rPr>
        <w:rFonts w:ascii="Gadugi" w:hAnsi="Gadugi"/>
        <w:color w:val="58595B"/>
        <w:sz w:val="16"/>
        <w:szCs w:val="16"/>
      </w:rPr>
    </w:pPr>
    <w:r w:rsidRPr="00031AB8">
      <w:rPr>
        <w:rFonts w:ascii="Gadugi" w:hAnsi="Gadugi"/>
        <w:color w:val="58595B"/>
        <w:sz w:val="16"/>
        <w:szCs w:val="16"/>
      </w:rPr>
      <w:t>Seccl Technology Limited is a company registered in England and Wales at 20 Manvers St, Bath, BA1 1JW (Number: 10237930).  Seccl Custody Limited, a wholly owned subsidiary of Seccl Technology Limited, is registered in England and Wales (Number: 10430958), and authorised and regulated by the Financial Conduct Authority (Firm Reference Number: 793200).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333A" w14:textId="45E099EE" w:rsidR="006F105C" w:rsidRPr="00A447DA" w:rsidRDefault="006F3157" w:rsidP="006F105C">
    <w:pPr>
      <w:pStyle w:val="Footer"/>
      <w:jc w:val="center"/>
      <w:rPr>
        <w:color w:val="58595B"/>
        <w:sz w:val="16"/>
        <w:szCs w:val="16"/>
      </w:rPr>
    </w:pPr>
    <w:r>
      <w:rPr>
        <w:color w:val="58595B"/>
        <w:sz w:val="16"/>
        <w:szCs w:val="16"/>
      </w:rPr>
      <w:t>Direct Debit Mandate</w:t>
    </w:r>
  </w:p>
  <w:p w14:paraId="3941489B" w14:textId="0C8A1DD7" w:rsidR="006F105C" w:rsidRPr="006F105C" w:rsidRDefault="006F105C" w:rsidP="006F105C">
    <w:pPr>
      <w:pStyle w:val="Footer"/>
      <w:jc w:val="center"/>
      <w:rPr>
        <w:color w:val="58595B"/>
        <w:sz w:val="16"/>
        <w:szCs w:val="16"/>
      </w:rPr>
    </w:pPr>
    <w:r w:rsidRPr="00A447DA">
      <w:rPr>
        <w:color w:val="58595B"/>
        <w:sz w:val="16"/>
        <w:szCs w:val="16"/>
      </w:rPr>
      <w:t xml:space="preserve">YOUR Platform is a trading style of YOU Asset Management Limited which is authorised and regulated by the Financial Conduct Authority.  YOU Asset Management Limited is registered in England &amp; Wales.  Company No. 06150317.  Registered Office: Building 2, </w:t>
    </w:r>
    <w:proofErr w:type="spellStart"/>
    <w:r w:rsidRPr="00A447DA">
      <w:rPr>
        <w:color w:val="58595B"/>
        <w:sz w:val="16"/>
        <w:szCs w:val="16"/>
      </w:rPr>
      <w:t>Watchmoor</w:t>
    </w:r>
    <w:proofErr w:type="spellEnd"/>
    <w:r w:rsidRPr="00A447DA">
      <w:rPr>
        <w:color w:val="58595B"/>
        <w:sz w:val="16"/>
        <w:szCs w:val="16"/>
      </w:rPr>
      <w:t xml:space="preserve"> Park, Riverside Way, Camberley, Surrey, GU15 3YL.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636C" w14:textId="77777777" w:rsidR="00A1414F" w:rsidRPr="00A447DA" w:rsidRDefault="00A1414F" w:rsidP="00A1414F">
    <w:pPr>
      <w:pStyle w:val="Footer"/>
      <w:jc w:val="center"/>
      <w:rPr>
        <w:color w:val="58595B"/>
        <w:sz w:val="16"/>
        <w:szCs w:val="16"/>
      </w:rPr>
    </w:pPr>
    <w:r>
      <w:rPr>
        <w:color w:val="58595B"/>
        <w:sz w:val="16"/>
        <w:szCs w:val="16"/>
      </w:rPr>
      <w:t>Direct Debit Mandate</w:t>
    </w:r>
  </w:p>
  <w:p w14:paraId="311E1787" w14:textId="77777777" w:rsidR="00A1414F" w:rsidRPr="006F105C" w:rsidRDefault="00A1414F" w:rsidP="00A1414F">
    <w:pPr>
      <w:pStyle w:val="Footer"/>
      <w:jc w:val="center"/>
      <w:rPr>
        <w:color w:val="58595B"/>
        <w:sz w:val="16"/>
        <w:szCs w:val="16"/>
      </w:rPr>
    </w:pPr>
    <w:r w:rsidRPr="00A447DA">
      <w:rPr>
        <w:color w:val="58595B"/>
        <w:sz w:val="16"/>
        <w:szCs w:val="16"/>
      </w:rPr>
      <w:t xml:space="preserve">YOUR Platform is a trading style of YOU Asset Management Limited which is authorised and regulated by the Financial Conduct Authority.  YOU Asset Management Limited is registered in England &amp; Wales.  Company No. 06150317.  Registered Office: Building 2, </w:t>
    </w:r>
    <w:proofErr w:type="spellStart"/>
    <w:r w:rsidRPr="00A447DA">
      <w:rPr>
        <w:color w:val="58595B"/>
        <w:sz w:val="16"/>
        <w:szCs w:val="16"/>
      </w:rPr>
      <w:t>Watchmoor</w:t>
    </w:r>
    <w:proofErr w:type="spellEnd"/>
    <w:r w:rsidRPr="00A447DA">
      <w:rPr>
        <w:color w:val="58595B"/>
        <w:sz w:val="16"/>
        <w:szCs w:val="16"/>
      </w:rPr>
      <w:t xml:space="preserve"> Park, Riverside Way, Camberley, Surrey, GU15 3YL.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2A71D" w14:textId="77777777" w:rsidR="00DD136B" w:rsidRDefault="00DD136B" w:rsidP="00A447DA">
      <w:pPr>
        <w:spacing w:after="0" w:line="240" w:lineRule="auto"/>
      </w:pPr>
      <w:r>
        <w:separator/>
      </w:r>
    </w:p>
  </w:footnote>
  <w:footnote w:type="continuationSeparator" w:id="0">
    <w:p w14:paraId="48744150" w14:textId="77777777" w:rsidR="00DD136B" w:rsidRDefault="00DD136B" w:rsidP="00A44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7E9C"/>
    <w:multiLevelType w:val="multilevel"/>
    <w:tmpl w:val="19F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4B73"/>
    <w:multiLevelType w:val="multilevel"/>
    <w:tmpl w:val="6F5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17196"/>
    <w:multiLevelType w:val="multilevel"/>
    <w:tmpl w:val="916C7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E686E"/>
    <w:multiLevelType w:val="multilevel"/>
    <w:tmpl w:val="05DE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B2993"/>
    <w:multiLevelType w:val="multilevel"/>
    <w:tmpl w:val="557CE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262149">
    <w:abstractNumId w:val="4"/>
  </w:num>
  <w:num w:numId="2" w16cid:durableId="788207509">
    <w:abstractNumId w:val="1"/>
  </w:num>
  <w:num w:numId="3" w16cid:durableId="842817403">
    <w:abstractNumId w:val="3"/>
  </w:num>
  <w:num w:numId="4" w16cid:durableId="239024531">
    <w:abstractNumId w:val="2"/>
  </w:num>
  <w:num w:numId="5" w16cid:durableId="189288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26"/>
    <w:rsid w:val="00015FC7"/>
    <w:rsid w:val="00031AB8"/>
    <w:rsid w:val="00067AD1"/>
    <w:rsid w:val="000B0C05"/>
    <w:rsid w:val="000D50E1"/>
    <w:rsid w:val="00164A9E"/>
    <w:rsid w:val="00187101"/>
    <w:rsid w:val="001A2B45"/>
    <w:rsid w:val="001A6AB3"/>
    <w:rsid w:val="001D000E"/>
    <w:rsid w:val="001D1C34"/>
    <w:rsid w:val="001F47DD"/>
    <w:rsid w:val="001F595A"/>
    <w:rsid w:val="00240457"/>
    <w:rsid w:val="00261EC8"/>
    <w:rsid w:val="00303140"/>
    <w:rsid w:val="0030626E"/>
    <w:rsid w:val="00331158"/>
    <w:rsid w:val="003373FC"/>
    <w:rsid w:val="00352526"/>
    <w:rsid w:val="00365078"/>
    <w:rsid w:val="003676BB"/>
    <w:rsid w:val="003A72D9"/>
    <w:rsid w:val="003A7517"/>
    <w:rsid w:val="003A7F50"/>
    <w:rsid w:val="003E26BF"/>
    <w:rsid w:val="00423130"/>
    <w:rsid w:val="004B7F26"/>
    <w:rsid w:val="004E7AE9"/>
    <w:rsid w:val="004F0EF7"/>
    <w:rsid w:val="00534C56"/>
    <w:rsid w:val="005441EF"/>
    <w:rsid w:val="00554E92"/>
    <w:rsid w:val="005841D6"/>
    <w:rsid w:val="005B193B"/>
    <w:rsid w:val="005D5AC4"/>
    <w:rsid w:val="005F0E60"/>
    <w:rsid w:val="00662D8E"/>
    <w:rsid w:val="006B40F1"/>
    <w:rsid w:val="006E0CE2"/>
    <w:rsid w:val="006F105C"/>
    <w:rsid w:val="006F3157"/>
    <w:rsid w:val="00710653"/>
    <w:rsid w:val="007179B5"/>
    <w:rsid w:val="00746CE5"/>
    <w:rsid w:val="00767488"/>
    <w:rsid w:val="007B2A06"/>
    <w:rsid w:val="00800AC4"/>
    <w:rsid w:val="00842731"/>
    <w:rsid w:val="00876746"/>
    <w:rsid w:val="009034E1"/>
    <w:rsid w:val="009221E6"/>
    <w:rsid w:val="009B5A68"/>
    <w:rsid w:val="009D4134"/>
    <w:rsid w:val="009F4942"/>
    <w:rsid w:val="00A1414F"/>
    <w:rsid w:val="00A447DA"/>
    <w:rsid w:val="00A5162B"/>
    <w:rsid w:val="00AB7421"/>
    <w:rsid w:val="00AC0B4E"/>
    <w:rsid w:val="00AC6560"/>
    <w:rsid w:val="00B03303"/>
    <w:rsid w:val="00C1433E"/>
    <w:rsid w:val="00C47EC8"/>
    <w:rsid w:val="00C57167"/>
    <w:rsid w:val="00CE7421"/>
    <w:rsid w:val="00D31274"/>
    <w:rsid w:val="00D437A9"/>
    <w:rsid w:val="00D613F1"/>
    <w:rsid w:val="00D677D8"/>
    <w:rsid w:val="00D832DA"/>
    <w:rsid w:val="00DD136B"/>
    <w:rsid w:val="00DE5E82"/>
    <w:rsid w:val="00DF150F"/>
    <w:rsid w:val="00E031E2"/>
    <w:rsid w:val="00E26FBE"/>
    <w:rsid w:val="00E66828"/>
    <w:rsid w:val="00E93896"/>
    <w:rsid w:val="00E94C9B"/>
    <w:rsid w:val="00EC4265"/>
    <w:rsid w:val="00ED290F"/>
    <w:rsid w:val="00F10E68"/>
    <w:rsid w:val="00F1770B"/>
    <w:rsid w:val="00F9463B"/>
    <w:rsid w:val="00FE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DF29"/>
  <w15:chartTrackingRefBased/>
  <w15:docId w15:val="{A2F86309-4733-4C1C-B160-E9CCE7C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DA"/>
  </w:style>
  <w:style w:type="paragraph" w:styleId="Footer">
    <w:name w:val="footer"/>
    <w:basedOn w:val="Normal"/>
    <w:link w:val="FooterChar"/>
    <w:uiPriority w:val="99"/>
    <w:unhideWhenUsed/>
    <w:rsid w:val="00A4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DA"/>
  </w:style>
  <w:style w:type="character" w:styleId="Hyperlink">
    <w:name w:val="Hyperlink"/>
    <w:basedOn w:val="DefaultParagraphFont"/>
    <w:uiPriority w:val="99"/>
    <w:unhideWhenUsed/>
    <w:rsid w:val="00A447DA"/>
    <w:rPr>
      <w:color w:val="0563C1" w:themeColor="hyperlink"/>
      <w:u w:val="single"/>
    </w:rPr>
  </w:style>
  <w:style w:type="character" w:styleId="UnresolvedMention">
    <w:name w:val="Unresolved Mention"/>
    <w:basedOn w:val="DefaultParagraphFont"/>
    <w:uiPriority w:val="99"/>
    <w:semiHidden/>
    <w:unhideWhenUsed/>
    <w:rsid w:val="00A447DA"/>
    <w:rPr>
      <w:color w:val="605E5C"/>
      <w:shd w:val="clear" w:color="auto" w:fill="E1DFDD"/>
    </w:rPr>
  </w:style>
  <w:style w:type="paragraph" w:styleId="ListParagraph">
    <w:name w:val="List Paragraph"/>
    <w:basedOn w:val="Normal"/>
    <w:uiPriority w:val="34"/>
    <w:qFormat/>
    <w:rsid w:val="00CE7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9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FDF07-5D60-4DE1-A364-9C646D8B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4</cp:revision>
  <dcterms:created xsi:type="dcterms:W3CDTF">2025-01-08T15:53:00Z</dcterms:created>
  <dcterms:modified xsi:type="dcterms:W3CDTF">2025-01-13T15:53:00Z</dcterms:modified>
</cp:coreProperties>
</file>